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 Міністерство оборони України </w:t>
      </w:r>
    </w:p>
    <w:p w:rsidR="00000000" w:rsidDel="00000000" w:rsidP="00000000" w:rsidRDefault="00000000" w:rsidRPr="00000000" w14:paraId="00000002">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03168, м. Київ-168, Повітрофлотський проспект, 6</w:t>
      </w:r>
    </w:p>
    <w:p w:rsidR="00000000" w:rsidDel="00000000" w:rsidP="00000000" w:rsidRDefault="00000000" w:rsidRPr="00000000" w14:paraId="00000003">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через</w:t>
      </w:r>
      <w:r w:rsidDel="00000000" w:rsidR="00000000" w:rsidRPr="00000000">
        <w:rPr>
          <w:rFonts w:ascii="Times New Roman" w:cs="Times New Roman" w:eastAsia="Times New Roman" w:hAnsi="Times New Roman"/>
          <w:sz w:val="24"/>
          <w:szCs w:val="24"/>
          <w:highlight w:val="white"/>
          <w:rtl w:val="0"/>
        </w:rPr>
        <w:t xml:space="preserve">____________________________</w:t>
      </w:r>
      <w:r w:rsidDel="00000000" w:rsidR="00000000" w:rsidRPr="00000000">
        <w:rPr>
          <w:rFonts w:ascii="Times New Roman" w:cs="Times New Roman" w:eastAsia="Times New Roman" w:hAnsi="Times New Roman"/>
          <w:color w:val="000000"/>
          <w:sz w:val="24"/>
          <w:szCs w:val="24"/>
          <w:highlight w:val="white"/>
          <w:rtl w:val="0"/>
        </w:rPr>
        <w:t xml:space="preserve"> ТЦК та СП</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Кого: __________________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Адреса: ________________</w:t>
      </w:r>
    </w:p>
    <w:p w:rsidR="00000000" w:rsidDel="00000000" w:rsidP="00000000" w:rsidRDefault="00000000" w:rsidRPr="00000000" w14:paraId="00000008">
      <w:pP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тел. </w:t>
      </w:r>
      <w:r w:rsidDel="00000000" w:rsidR="00000000" w:rsidRPr="00000000">
        <w:rPr>
          <w:rFonts w:ascii="Times New Roman" w:cs="Times New Roman" w:eastAsia="Times New Roman" w:hAnsi="Times New Roman"/>
          <w:sz w:val="24"/>
          <w:szCs w:val="24"/>
          <w:highlight w:val="white"/>
          <w:rtl w:val="0"/>
        </w:rPr>
        <w:t xml:space="preserve">___________</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заява</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про виплату одноразової грошової допомоги</w:t>
      </w:r>
    </w:p>
    <w:p w:rsidR="00000000" w:rsidDel="00000000" w:rsidP="00000000" w:rsidRDefault="00000000" w:rsidRPr="00000000" w14:paraId="0000000C">
      <w:pP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0D">
      <w:pPr>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________</w:t>
      </w:r>
      <w:r w:rsidDel="00000000" w:rsidR="00000000" w:rsidRPr="00000000">
        <w:rPr>
          <w:rFonts w:ascii="Times New Roman" w:cs="Times New Roman" w:eastAsia="Times New Roman" w:hAnsi="Times New Roman"/>
          <w:color w:val="000000"/>
          <w:sz w:val="24"/>
          <w:szCs w:val="24"/>
          <w:highlight w:val="white"/>
          <w:rtl w:val="0"/>
        </w:rPr>
        <w:t xml:space="preserve">року рішенням Обласної медико-соціальної експертної комісії </w:t>
      </w:r>
      <w:r w:rsidDel="00000000" w:rsidR="00000000" w:rsidRPr="00000000">
        <w:rPr>
          <w:rFonts w:ascii="Times New Roman" w:cs="Times New Roman" w:eastAsia="Times New Roman" w:hAnsi="Times New Roman"/>
          <w:sz w:val="24"/>
          <w:szCs w:val="24"/>
          <w:highlight w:val="white"/>
          <w:rtl w:val="0"/>
        </w:rPr>
        <w:t xml:space="preserve">_______________________</w:t>
      </w:r>
      <w:r w:rsidDel="00000000" w:rsidR="00000000" w:rsidRPr="00000000">
        <w:rPr>
          <w:rFonts w:ascii="Times New Roman" w:cs="Times New Roman" w:eastAsia="Times New Roman" w:hAnsi="Times New Roman"/>
          <w:color w:val="000000"/>
          <w:sz w:val="24"/>
          <w:szCs w:val="24"/>
          <w:highlight w:val="white"/>
          <w:rtl w:val="0"/>
        </w:rPr>
        <w:t xml:space="preserve"> мені, _____________________________________________, було змінено групу інвалідності з </w:t>
      </w:r>
      <w:r w:rsidDel="00000000" w:rsidR="00000000" w:rsidRPr="00000000">
        <w:rPr>
          <w:rFonts w:ascii="Times New Roman" w:cs="Times New Roman" w:eastAsia="Times New Roman" w:hAnsi="Times New Roman"/>
          <w:sz w:val="24"/>
          <w:szCs w:val="24"/>
          <w:highlight w:val="white"/>
          <w:rtl w:val="0"/>
        </w:rPr>
        <w:t xml:space="preserve">___</w:t>
      </w:r>
      <w:r w:rsidDel="00000000" w:rsidR="00000000" w:rsidRPr="00000000">
        <w:rPr>
          <w:rFonts w:ascii="Times New Roman" w:cs="Times New Roman" w:eastAsia="Times New Roman" w:hAnsi="Times New Roman"/>
          <w:color w:val="000000"/>
          <w:sz w:val="24"/>
          <w:szCs w:val="24"/>
          <w:highlight w:val="white"/>
          <w:rtl w:val="0"/>
        </w:rPr>
        <w:t xml:space="preserve"> групи на </w:t>
      </w:r>
      <w:r w:rsidDel="00000000" w:rsidR="00000000" w:rsidRPr="00000000">
        <w:rPr>
          <w:rFonts w:ascii="Times New Roman" w:cs="Times New Roman" w:eastAsia="Times New Roman" w:hAnsi="Times New Roman"/>
          <w:sz w:val="24"/>
          <w:szCs w:val="24"/>
          <w:highlight w:val="white"/>
          <w:rtl w:val="0"/>
        </w:rPr>
        <w:t xml:space="preserve">____</w:t>
      </w:r>
      <w:r w:rsidDel="00000000" w:rsidR="00000000" w:rsidRPr="00000000">
        <w:rPr>
          <w:rFonts w:ascii="Times New Roman" w:cs="Times New Roman" w:eastAsia="Times New Roman" w:hAnsi="Times New Roman"/>
          <w:color w:val="000000"/>
          <w:sz w:val="24"/>
          <w:szCs w:val="24"/>
          <w:highlight w:val="white"/>
          <w:rtl w:val="0"/>
        </w:rPr>
        <w:t xml:space="preserve"> групу. </w:t>
      </w:r>
    </w:p>
    <w:p w:rsidR="00000000" w:rsidDel="00000000" w:rsidP="00000000" w:rsidRDefault="00000000" w:rsidRPr="00000000" w14:paraId="0000000E">
      <w:pPr>
        <w:ind w:firstLine="567"/>
        <w:jc w:val="both"/>
        <w:rPr>
          <w:rFonts w:ascii="Times New Roman" w:cs="Times New Roman" w:eastAsia="Times New Roman" w:hAnsi="Times New Roman"/>
          <w:color w:val="000000"/>
          <w:sz w:val="24"/>
          <w:szCs w:val="24"/>
        </w:rPr>
      </w:pPr>
      <w:hyperlink r:id="rId6">
        <w:r w:rsidDel="00000000" w:rsidR="00000000" w:rsidRPr="00000000">
          <w:rPr>
            <w:rFonts w:ascii="Times New Roman" w:cs="Times New Roman" w:eastAsia="Times New Roman" w:hAnsi="Times New Roman"/>
            <w:color w:val="000000"/>
            <w:sz w:val="24"/>
            <w:szCs w:val="24"/>
            <w:highlight w:val="white"/>
            <w:u w:val="none"/>
            <w:rtl w:val="0"/>
          </w:rPr>
          <w:t xml:space="preserve">Статтею 16 Закону №2011-ХІІ</w:t>
        </w:r>
      </w:hyperlink>
      <w:r w:rsidDel="00000000" w:rsidR="00000000" w:rsidRPr="00000000">
        <w:rPr>
          <w:rFonts w:ascii="Times New Roman" w:cs="Times New Roman" w:eastAsia="Times New Roman" w:hAnsi="Times New Roman"/>
          <w:color w:val="000000"/>
          <w:sz w:val="24"/>
          <w:szCs w:val="24"/>
          <w:highlight w:val="white"/>
          <w:rtl w:val="0"/>
        </w:rPr>
        <w:t xml:space="preserve"> передбачено, що одноразова грошова допомога у разі загибелі (смерті), інвалідності або часткової втрати працездатності без встановлення інвалідності військовослужбовців, військовозобов`язаних та резервістів, які призвані на навчальні (або перевірочні) та спеціальні збори чи для проходження служби у військовому резерві (далі - одноразова грошова допомога), - гарантована державою виплата, що здійснюється особам, які згідно з цим </w:t>
      </w:r>
      <w:hyperlink r:id="rId7">
        <w:r w:rsidDel="00000000" w:rsidR="00000000" w:rsidRPr="00000000">
          <w:rPr>
            <w:rFonts w:ascii="Times New Roman" w:cs="Times New Roman" w:eastAsia="Times New Roman" w:hAnsi="Times New Roman"/>
            <w:color w:val="000000"/>
            <w:sz w:val="24"/>
            <w:szCs w:val="24"/>
            <w:highlight w:val="white"/>
            <w:u w:val="single"/>
            <w:rtl w:val="0"/>
          </w:rPr>
          <w:t xml:space="preserve">Законом</w:t>
        </w:r>
      </w:hyperlink>
      <w:r w:rsidDel="00000000" w:rsidR="00000000" w:rsidRPr="00000000">
        <w:rPr>
          <w:rFonts w:ascii="Times New Roman" w:cs="Times New Roman" w:eastAsia="Times New Roman" w:hAnsi="Times New Roman"/>
          <w:color w:val="000000"/>
          <w:sz w:val="24"/>
          <w:szCs w:val="24"/>
          <w:highlight w:val="white"/>
          <w:rtl w:val="0"/>
        </w:rPr>
        <w:t xml:space="preserve"> мають право на її отримання.</w:t>
      </w:r>
      <w:r w:rsidDel="00000000" w:rsidR="00000000" w:rsidRPr="00000000">
        <w:rPr>
          <w:rtl w:val="0"/>
        </w:rPr>
      </w:r>
    </w:p>
    <w:p w:rsidR="00000000" w:rsidDel="00000000" w:rsidP="00000000" w:rsidRDefault="00000000" w:rsidRPr="00000000" w14:paraId="0000000F">
      <w:pPr>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 Пунктом 4 статті 16-3 Закону №2011-XII, було передбачено, що якщо протягом двох років військовослужбовцю, військовозобов`язаному або резервісту після первинного встановлення інвалідності або ступеня втрати працездатності без встановлення інвалідності під час повторного огляду буде встановлено вищу групу інвалідності або більший відсоток втрати працездатності, що дає їм право на отримання одноразової грошової допомоги в </w:t>
      </w:r>
      <w:r w:rsidDel="00000000" w:rsidR="00000000" w:rsidRPr="00000000">
        <w:rPr>
          <w:rFonts w:ascii="Times New Roman" w:cs="Times New Roman" w:eastAsia="Times New Roman" w:hAnsi="Times New Roman"/>
          <w:color w:val="000000"/>
          <w:sz w:val="24"/>
          <w:szCs w:val="24"/>
          <w:highlight w:val="white"/>
          <w:rtl w:val="0"/>
        </w:rPr>
        <w:t xml:space="preserve">більшому розмірі, виплата провадиться з урахуванням раніше виплаченої суми.</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i w:val="0"/>
          <w:smallCaps w:val="0"/>
          <w:strike w:val="0"/>
          <w:color w:val="000000"/>
          <w:sz w:val="24"/>
          <w:szCs w:val="24"/>
          <w:u w:val="none"/>
          <w:shd w:fill="f4c1ff"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Проте,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пункт 4 статті 16-3 визнано таким, що не відповідає Конституції України (є неконституційним), згідно з Рішенням Конституційного Суду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1-р(II)/2022 від 06.04.2022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 тому не дивлячись на те, що мені було змінено групу інвалідності понад дворічний термін після первинного встановлення інвалідності – я має цілком законне право на отримання одноразової грошової допомоги у зв’язку із змінами групи інвалідності.</w:t>
      </w:r>
      <w:r w:rsidDel="00000000" w:rsidR="00000000" w:rsidRPr="00000000">
        <w:rPr>
          <w:rtl w:val="0"/>
        </w:rPr>
      </w:r>
    </w:p>
    <w:p w:rsidR="00000000" w:rsidDel="00000000" w:rsidP="00000000" w:rsidRDefault="00000000" w:rsidRPr="00000000" w14:paraId="00000011">
      <w:pPr>
        <w:spacing w:after="0" w:lineRule="auto"/>
        <w:ind w:firstLine="709"/>
        <w:jc w:val="both"/>
        <w:rPr>
          <w:rFonts w:ascii="Times New Roman" w:cs="Times New Roman" w:eastAsia="Times New Roman" w:hAnsi="Times New Roman"/>
          <w:color w:val="1f1f1f"/>
          <w:sz w:val="24"/>
          <w:szCs w:val="24"/>
          <w:highlight w:val="white"/>
        </w:rPr>
      </w:pPr>
      <w:bookmarkStart w:colFirst="0" w:colLast="0" w:name="_gjdgxs" w:id="0"/>
      <w:bookmarkEnd w:id="0"/>
      <w:r w:rsidDel="00000000" w:rsidR="00000000" w:rsidRPr="00000000">
        <w:rPr>
          <w:rFonts w:ascii="Times New Roman" w:cs="Times New Roman" w:eastAsia="Times New Roman" w:hAnsi="Times New Roman"/>
          <w:color w:val="1f1f1f"/>
          <w:sz w:val="24"/>
          <w:szCs w:val="24"/>
          <w:highlight w:val="white"/>
          <w:rtl w:val="0"/>
        </w:rPr>
        <w:t xml:space="preserve">З таких підстав ПРОШУ ВАС виплатити мені різницю між одноразовою грошовою допомогою на яку я маю право при встановленні інвалідності __ групи та отриманою мною грошовою допомогою при встановленні інвалідності ___ групи. Рахунок для виплат додаю.</w:t>
      </w:r>
    </w:p>
    <w:p w:rsidR="00000000" w:rsidDel="00000000" w:rsidP="00000000" w:rsidRDefault="00000000" w:rsidRPr="00000000" w14:paraId="00000012">
      <w:pPr>
        <w:spacing w:after="0" w:lineRule="auto"/>
        <w:ind w:firstLine="709"/>
        <w:jc w:val="both"/>
        <w:rPr>
          <w:rFonts w:ascii="Times New Roman" w:cs="Times New Roman" w:eastAsia="Times New Roman" w:hAnsi="Times New Roman"/>
          <w:color w:val="1f1f1f"/>
          <w:sz w:val="24"/>
          <w:szCs w:val="24"/>
          <w:highlight w:val="white"/>
        </w:rPr>
      </w:pPr>
      <w:r w:rsidDel="00000000" w:rsidR="00000000" w:rsidRPr="00000000">
        <w:rPr>
          <w:rtl w:val="0"/>
        </w:rPr>
      </w:r>
    </w:p>
    <w:p w:rsidR="00000000" w:rsidDel="00000000" w:rsidP="00000000" w:rsidRDefault="00000000" w:rsidRPr="00000000" w14:paraId="00000013">
      <w:pPr>
        <w:spacing w:after="0" w:lineRule="auto"/>
        <w:ind w:firstLine="709"/>
        <w:jc w:val="both"/>
        <w:rPr>
          <w:rFonts w:ascii="Times New Roman" w:cs="Times New Roman" w:eastAsia="Times New Roman" w:hAnsi="Times New Roman"/>
          <w:color w:val="1f1f1f"/>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Додатки:</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9" w:right="0" w:hanging="360"/>
        <w:jc w:val="both"/>
        <w:rPr>
          <w:rFonts w:ascii="Times New Roman" w:cs="Times New Roman" w:eastAsia="Times New Roman" w:hAnsi="Times New Roman"/>
          <w:b w:val="0"/>
          <w:i w:val="0"/>
          <w:smallCaps w:val="0"/>
          <w:strike w:val="0"/>
          <w:color w:val="1f1f1f"/>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f1f1f"/>
          <w:sz w:val="24"/>
          <w:szCs w:val="24"/>
          <w:highlight w:val="white"/>
          <w:u w:val="none"/>
          <w:vertAlign w:val="baseline"/>
          <w:rtl w:val="0"/>
        </w:rPr>
        <w:t xml:space="preserve">Копія акту огляду МСЕК серія ____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9" w:right="0" w:hanging="360"/>
        <w:jc w:val="both"/>
        <w:rPr>
          <w:rFonts w:ascii="Times New Roman" w:cs="Times New Roman" w:eastAsia="Times New Roman" w:hAnsi="Times New Roman"/>
          <w:b w:val="0"/>
          <w:i w:val="0"/>
          <w:smallCaps w:val="0"/>
          <w:strike w:val="0"/>
          <w:color w:val="1f1f1f"/>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f1f1f"/>
          <w:sz w:val="24"/>
          <w:szCs w:val="24"/>
          <w:highlight w:val="white"/>
          <w:u w:val="none"/>
          <w:vertAlign w:val="baseline"/>
          <w:rtl w:val="0"/>
        </w:rPr>
        <w:t xml:space="preserve">Копія акту огляду МСЕК серія ____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9" w:right="0" w:hanging="360"/>
        <w:jc w:val="both"/>
        <w:rPr>
          <w:rFonts w:ascii="Times New Roman" w:cs="Times New Roman" w:eastAsia="Times New Roman" w:hAnsi="Times New Roman"/>
          <w:b w:val="0"/>
          <w:i w:val="0"/>
          <w:smallCaps w:val="0"/>
          <w:strike w:val="0"/>
          <w:color w:val="1f1f1f"/>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f1f1f"/>
          <w:sz w:val="24"/>
          <w:szCs w:val="24"/>
          <w:highlight w:val="white"/>
          <w:u w:val="none"/>
          <w:vertAlign w:val="baseline"/>
          <w:rtl w:val="0"/>
        </w:rPr>
        <w:t xml:space="preserve">Реквізити банківського рахунку.</w:t>
      </w:r>
    </w:p>
    <w:p w:rsidR="00000000" w:rsidDel="00000000" w:rsidP="00000000" w:rsidRDefault="00000000" w:rsidRPr="00000000" w14:paraId="00000017">
      <w:pPr>
        <w:spacing w:after="0" w:lineRule="auto"/>
        <w:ind w:left="709" w:firstLine="0"/>
        <w:jc w:val="both"/>
        <w:rPr>
          <w:rFonts w:ascii="Times New Roman" w:cs="Times New Roman" w:eastAsia="Times New Roman" w:hAnsi="Times New Roman"/>
          <w:color w:val="1f1f1f"/>
          <w:sz w:val="24"/>
          <w:szCs w:val="24"/>
          <w:highlight w:val="white"/>
        </w:rPr>
      </w:pPr>
      <w:r w:rsidDel="00000000" w:rsidR="00000000" w:rsidRPr="00000000">
        <w:rPr>
          <w:rtl w:val="0"/>
        </w:rPr>
      </w:r>
    </w:p>
    <w:p w:rsidR="00000000" w:rsidDel="00000000" w:rsidP="00000000" w:rsidRDefault="00000000" w:rsidRPr="00000000" w14:paraId="00000018">
      <w:pPr>
        <w:spacing w:after="0" w:lineRule="auto"/>
        <w:ind w:firstLine="709"/>
        <w:jc w:val="both"/>
        <w:rPr>
          <w:rFonts w:ascii="Times New Roman" w:cs="Times New Roman" w:eastAsia="Times New Roman" w:hAnsi="Times New Roman"/>
          <w:color w:val="1f1f1f"/>
          <w:sz w:val="24"/>
          <w:szCs w:val="24"/>
          <w:highlight w:val="white"/>
        </w:rPr>
      </w:pPr>
      <w:r w:rsidDel="00000000" w:rsidR="00000000" w:rsidRPr="00000000">
        <w:rPr>
          <w:rtl w:val="0"/>
        </w:rPr>
      </w:r>
    </w:p>
    <w:p w:rsidR="00000000" w:rsidDel="00000000" w:rsidP="00000000" w:rsidRDefault="00000000" w:rsidRPr="00000000" w14:paraId="00000019">
      <w:pPr>
        <w:spacing w:after="0" w:lineRule="auto"/>
        <w:jc w:val="both"/>
        <w:rPr/>
      </w:pPr>
      <w:r w:rsidDel="00000000" w:rsidR="00000000" w:rsidRPr="00000000">
        <w:rPr>
          <w:rFonts w:ascii="Times New Roman" w:cs="Times New Roman" w:eastAsia="Times New Roman" w:hAnsi="Times New Roman"/>
          <w:color w:val="1f1f1f"/>
          <w:sz w:val="24"/>
          <w:szCs w:val="24"/>
          <w:highlight w:val="white"/>
          <w:rtl w:val="0"/>
        </w:rPr>
        <w:t xml:space="preserve">Дата                                                   підпис                                             ініціали</w:t>
      </w:r>
      <w:r w:rsidDel="00000000" w:rsidR="00000000" w:rsidRPr="00000000">
        <w:rPr>
          <w:rtl w:val="0"/>
        </w:rPr>
      </w:r>
    </w:p>
    <w:sectPr>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arch.ligazakon.ua/l_doc2.nsf/link1/an_827218/ed_2020_09_17/pravo1/T201100.html?pravo=1#827218" TargetMode="External"/><Relationship Id="rId7" Type="http://schemas.openxmlformats.org/officeDocument/2006/relationships/hyperlink" Target="http://search.ligazakon.ua/l_doc2.nsf/link1/ed_2018_06_07/pravo1/T161774.html?pravo=1" TargetMode="External"/><Relationship Id="rId8" Type="http://schemas.openxmlformats.org/officeDocument/2006/relationships/hyperlink" Target="https://zakon.rada.gov.ua/laws/show/v001p710-22#n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